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nil"/>
          <w:left w:val="nil"/>
          <w:bottom w:val="nil"/>
          <w:right w:val="nil"/>
          <w:insideH w:val="nil"/>
          <w:insideV w:val="nil"/>
        </w:tblBorders>
        <w:tblLook w:val="04A0" w:firstRow="1" w:lastRow="0" w:firstColumn="1" w:lastColumn="0" w:noHBand="0" w:noVBand="1"/>
      </w:tblPr>
      <w:tblGrid>
        <w:gridCol w:w="9183"/>
        <w:gridCol w:w="222"/>
      </w:tblGrid>
      <w:tr w:rsidR="00A90E93" w:rsidRPr="00A90E93" w14:paraId="29E82683" w14:textId="77777777" w:rsidTr="008B0F77">
        <w:trPr>
          <w:jc w:val="center"/>
        </w:trPr>
        <w:tc>
          <w:tcPr>
            <w:tcW w:w="4702" w:type="dxa"/>
          </w:tcPr>
          <w:tbl>
            <w:tblPr>
              <w:tblW w:w="9335" w:type="dxa"/>
              <w:jc w:val="center"/>
              <w:tblLook w:val="04A0" w:firstRow="1" w:lastRow="0" w:firstColumn="1" w:lastColumn="0" w:noHBand="0" w:noVBand="1"/>
            </w:tblPr>
            <w:tblGrid>
              <w:gridCol w:w="3004"/>
              <w:gridCol w:w="6331"/>
            </w:tblGrid>
            <w:tr w:rsidR="00A90E93" w:rsidRPr="00A90E93" w14:paraId="5145C4E1" w14:textId="77777777" w:rsidTr="008B0F77">
              <w:trPr>
                <w:trHeight w:val="1661"/>
                <w:jc w:val="center"/>
              </w:trPr>
              <w:tc>
                <w:tcPr>
                  <w:tcW w:w="3004" w:type="dxa"/>
                </w:tcPr>
                <w:p w14:paraId="22E3D5BD" w14:textId="77777777" w:rsidR="00443279" w:rsidRPr="00A90E93" w:rsidRDefault="00443279" w:rsidP="00443279">
                  <w:pPr>
                    <w:jc w:val="center"/>
                    <w:rPr>
                      <w:rFonts w:cs="Times New Roman"/>
                      <w:sz w:val="28"/>
                      <w:szCs w:val="28"/>
                    </w:rPr>
                  </w:pPr>
                  <w:r w:rsidRPr="00A90E93">
                    <w:rPr>
                      <w:rFonts w:cs="Times New Roman"/>
                      <w:b/>
                      <w:bCs/>
                      <w:noProof/>
                      <w:sz w:val="28"/>
                      <w:szCs w:val="28"/>
                    </w:rPr>
                    <mc:AlternateContent>
                      <mc:Choice Requires="wps">
                        <w:drawing>
                          <wp:anchor distT="0" distB="0" distL="114300" distR="114300" simplePos="0" relativeHeight="251659264" behindDoc="0" locked="0" layoutInCell="1" allowOverlap="1" wp14:anchorId="4CFCC4A2" wp14:editId="18106BFF">
                            <wp:simplePos x="0" y="0"/>
                            <wp:positionH relativeFrom="column">
                              <wp:posOffset>630555</wp:posOffset>
                            </wp:positionH>
                            <wp:positionV relativeFrom="paragraph">
                              <wp:posOffset>265430</wp:posOffset>
                            </wp:positionV>
                            <wp:extent cx="501650" cy="0"/>
                            <wp:effectExtent l="11430" t="8255" r="1079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9AEE15" id="_x0000_t32" coordsize="21600,21600" o:spt="32" o:oned="t" path="m,l21600,21600e" filled="f">
                            <v:path arrowok="t" fillok="f" o:connecttype="none"/>
                            <o:lock v:ext="edit" shapetype="t"/>
                          </v:shapetype>
                          <v:shape id="Straight Arrow Connector 3" o:spid="_x0000_s1026" type="#_x0000_t32" style="position:absolute;margin-left:49.65pt;margin-top:20.9pt;width: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uogtgEAAFU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"/>
                        </w:pict>
                      </mc:Fallback>
                    </mc:AlternateContent>
                  </w:r>
                  <w:r w:rsidRPr="00A90E93">
                    <w:rPr>
                      <w:rFonts w:cs="Times New Roman"/>
                      <w:b/>
                      <w:bCs/>
                      <w:noProof/>
                      <w:sz w:val="28"/>
                      <w:szCs w:val="28"/>
                      <w:lang w:eastAsia="vi-VN"/>
                    </w:rPr>
                    <w:t>BỘ TÀI CHÍNH</w:t>
                  </w:r>
                  <w:r w:rsidRPr="00A90E93">
                    <w:rPr>
                      <w:rFonts w:cs="Times New Roman"/>
                      <w:b/>
                      <w:bCs/>
                      <w:sz w:val="28"/>
                      <w:szCs w:val="28"/>
                    </w:rPr>
                    <w:t xml:space="preserve"> </w:t>
                  </w:r>
                  <w:r w:rsidRPr="00A90E93">
                    <w:rPr>
                      <w:rFonts w:cs="Times New Roman"/>
                      <w:b/>
                      <w:bCs/>
                      <w:sz w:val="28"/>
                      <w:szCs w:val="28"/>
                    </w:rPr>
                    <w:br/>
                  </w:r>
                </w:p>
                <w:p w14:paraId="198B7886" w14:textId="77777777" w:rsidR="00443279" w:rsidRPr="00A90E93" w:rsidRDefault="00443279" w:rsidP="00443279">
                  <w:pPr>
                    <w:spacing w:before="240" w:after="120"/>
                    <w:jc w:val="center"/>
                    <w:rPr>
                      <w:rFonts w:cs="Times New Roman"/>
                      <w:b/>
                      <w:sz w:val="28"/>
                      <w:szCs w:val="28"/>
                      <w:lang w:val="nl-NL"/>
                    </w:rPr>
                  </w:pPr>
                </w:p>
              </w:tc>
              <w:tc>
                <w:tcPr>
                  <w:tcW w:w="6331" w:type="dxa"/>
                </w:tcPr>
                <w:p w14:paraId="169B5D63" w14:textId="77777777" w:rsidR="00443279" w:rsidRPr="00A90E93" w:rsidRDefault="00443279" w:rsidP="00443279">
                  <w:pPr>
                    <w:pStyle w:val="NormalWeb"/>
                    <w:spacing w:before="0" w:beforeAutospacing="0" w:after="0" w:afterAutospacing="0"/>
                    <w:jc w:val="center"/>
                    <w:rPr>
                      <w:b/>
                      <w:bCs/>
                      <w:sz w:val="28"/>
                      <w:szCs w:val="28"/>
                      <w:lang w:val="nl-NL"/>
                    </w:rPr>
                  </w:pPr>
                  <w:r w:rsidRPr="00A90E93">
                    <w:rPr>
                      <w:b/>
                      <w:bCs/>
                      <w:sz w:val="28"/>
                      <w:szCs w:val="28"/>
                      <w:lang w:val="nl-NL"/>
                    </w:rPr>
                    <w:t>CỘNG HÒA XÃ HỘI CHỦ NGHĨA VIỆT NAM</w:t>
                  </w:r>
                  <w:r w:rsidRPr="00A90E93">
                    <w:rPr>
                      <w:b/>
                      <w:bCs/>
                      <w:sz w:val="28"/>
                      <w:szCs w:val="28"/>
                      <w:lang w:val="nl-NL"/>
                    </w:rPr>
                    <w:br/>
                    <w:t>Độc lập - Tự do - Hạnh phúc</w:t>
                  </w:r>
                </w:p>
                <w:p w14:paraId="615A54FD" w14:textId="77777777" w:rsidR="00443279" w:rsidRPr="00A90E93" w:rsidRDefault="00443279" w:rsidP="00443279">
                  <w:pPr>
                    <w:jc w:val="center"/>
                    <w:rPr>
                      <w:rFonts w:cs="Times New Roman"/>
                      <w:i/>
                      <w:iCs/>
                      <w:sz w:val="28"/>
                      <w:szCs w:val="28"/>
                      <w:lang w:val="nl-NL"/>
                    </w:rPr>
                  </w:pPr>
                  <w:r w:rsidRPr="00A90E93">
                    <w:rPr>
                      <w:rFonts w:cs="Times New Roman"/>
                      <w:noProof/>
                      <w:sz w:val="28"/>
                      <w:szCs w:val="28"/>
                    </w:rPr>
                    <mc:AlternateContent>
                      <mc:Choice Requires="wps">
                        <w:drawing>
                          <wp:anchor distT="0" distB="0" distL="114300" distR="114300" simplePos="0" relativeHeight="251660288" behindDoc="0" locked="0" layoutInCell="1" allowOverlap="1" wp14:anchorId="490BD3C1" wp14:editId="65C75CD7">
                            <wp:simplePos x="0" y="0"/>
                            <wp:positionH relativeFrom="column">
                              <wp:posOffset>904240</wp:posOffset>
                            </wp:positionH>
                            <wp:positionV relativeFrom="paragraph">
                              <wp:posOffset>95250</wp:posOffset>
                            </wp:positionV>
                            <wp:extent cx="2107565" cy="0"/>
                            <wp:effectExtent l="11430" t="13335" r="508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63A22" id="Straight Arrow Connector 2" o:spid="_x0000_s1026" type="#_x0000_t32" style="position:absolute;margin-left:71.2pt;margin-top:7.5pt;width:165.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"/>
                        </w:pict>
                      </mc:Fallback>
                    </mc:AlternateContent>
                  </w:r>
                </w:p>
                <w:p w14:paraId="617B4653" w14:textId="77777777" w:rsidR="00443279" w:rsidRPr="00A90E93" w:rsidRDefault="00443279" w:rsidP="00443279">
                  <w:pPr>
                    <w:jc w:val="center"/>
                    <w:rPr>
                      <w:rFonts w:cs="Times New Roman"/>
                      <w:b/>
                      <w:sz w:val="28"/>
                      <w:szCs w:val="28"/>
                      <w:lang w:val="nl-NL"/>
                    </w:rPr>
                  </w:pPr>
                  <w:r w:rsidRPr="00A90E93">
                    <w:rPr>
                      <w:rFonts w:cs="Times New Roman"/>
                      <w:i/>
                      <w:iCs/>
                      <w:sz w:val="28"/>
                      <w:szCs w:val="28"/>
                      <w:lang w:val="nl-NL"/>
                    </w:rPr>
                    <w:t>Hà Nội, ngày    tháng    năm 2026</w:t>
                  </w:r>
                </w:p>
              </w:tc>
            </w:tr>
          </w:tbl>
          <w:p w14:paraId="7C9EC6B3" w14:textId="77777777" w:rsidR="00443279" w:rsidRPr="00A90E93" w:rsidRDefault="00443279" w:rsidP="008B0F77">
            <w:pPr>
              <w:jc w:val="center"/>
              <w:rPr>
                <w:lang w:val="nl-NL"/>
              </w:rPr>
            </w:pPr>
          </w:p>
        </w:tc>
        <w:tc>
          <w:tcPr>
            <w:tcW w:w="4702" w:type="dxa"/>
          </w:tcPr>
          <w:p w14:paraId="7239AE7F" w14:textId="77777777" w:rsidR="00443279" w:rsidRPr="00A90E93" w:rsidRDefault="00443279" w:rsidP="008B0F77">
            <w:pPr>
              <w:jc w:val="center"/>
              <w:rPr>
                <w:lang w:val="nl-NL"/>
              </w:rPr>
            </w:pPr>
          </w:p>
        </w:tc>
      </w:tr>
    </w:tbl>
    <w:p w14:paraId="4A1A4A7A" w14:textId="77777777" w:rsidR="00443279" w:rsidRPr="00A90E93" w:rsidRDefault="00443279" w:rsidP="00443279">
      <w:pPr>
        <w:jc w:val="both"/>
        <w:rPr>
          <w:lang w:val="nl-NL"/>
        </w:rPr>
      </w:pPr>
    </w:p>
    <w:p w14:paraId="6DA810D2" w14:textId="77777777" w:rsidR="00443279" w:rsidRPr="00A90E93" w:rsidRDefault="00443279" w:rsidP="00443279">
      <w:pPr>
        <w:spacing w:before="120" w:after="120" w:line="276" w:lineRule="auto"/>
        <w:ind w:firstLine="567"/>
        <w:jc w:val="center"/>
        <w:rPr>
          <w:sz w:val="28"/>
          <w:szCs w:val="28"/>
          <w:lang w:val="nl-NL"/>
        </w:rPr>
      </w:pPr>
      <w:r w:rsidRPr="00A90E93">
        <w:rPr>
          <w:rFonts w:cs="Times New Roman"/>
          <w:b/>
          <w:bCs/>
          <w:sz w:val="28"/>
          <w:szCs w:val="28"/>
          <w:lang w:val="nl-NL"/>
        </w:rPr>
        <w:t>BẢN ĐÁNH GIÁ THỦ TỤC HÀNH CHÍNH VIỆC</w:t>
      </w:r>
      <w:r w:rsidRPr="00A90E93">
        <w:rPr>
          <w:b/>
          <w:sz w:val="28"/>
          <w:szCs w:val="28"/>
          <w:lang w:val="nl-NL"/>
        </w:rPr>
        <w:t xml:space="preserve"> THỰC HIỆN HỖ TRỢ PHÁT TRIỂN 1.000 DOANH NGHIỆP TIÊN PHONG GIAI ĐOẠN 2026 - 2030</w:t>
      </w:r>
    </w:p>
    <w:p w14:paraId="639A34B5" w14:textId="77777777" w:rsidR="00443279" w:rsidRPr="00A90E93" w:rsidRDefault="00443279" w:rsidP="00443279">
      <w:pPr>
        <w:spacing w:before="120" w:after="120" w:line="240" w:lineRule="auto"/>
        <w:ind w:firstLine="567"/>
        <w:jc w:val="both"/>
        <w:rPr>
          <w:sz w:val="28"/>
          <w:szCs w:val="28"/>
          <w:lang w:val="nl-NL"/>
        </w:rPr>
      </w:pPr>
      <w:r w:rsidRPr="00A90E93">
        <w:rPr>
          <w:sz w:val="28"/>
          <w:szCs w:val="28"/>
          <w:lang w:val="nl-NL"/>
        </w:rPr>
        <w:t>Thực hiện quy định của Luật Ban hành văn bản quy phạm pháp luật, Bộ Tài chính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Thông tư hướng dẫn thực hiện Chương trình phát triển 1.000 doanh nghiệp tiên phong giai đoạn 2026 - 2030. Kết quả như sau:</w:t>
      </w:r>
    </w:p>
    <w:p w14:paraId="2DE4FDAA"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I. TỔ CHỨC THỰC HIỆN ĐÁNH GIÁ</w:t>
      </w:r>
    </w:p>
    <w:p w14:paraId="44E42A8A"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1. Bối cảnh xây dựng dự thảo Thông tư</w:t>
      </w:r>
    </w:p>
    <w:p w14:paraId="0040CA6D"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Điều 18 Luật Ban hành văn bản quy phạm pháp luật năm 2025 quy định Bộ trưởng ban hành Thông tư để quy định chi tiết điều, khoản, điểm và các nội dung khác được giao trong luật, nghị quyết của Quốc hội, pháp lệnh, nghị quyết của Ủy ban Thường vụ Quốc hội, lệnh, quyết định của Chủ tịch nước, nghị định, nghị quyết của Chính phủ, quyết định của Thủ tướng Chính phủ; biện pháp thực hiện chức năng quản lý nhà nước của mình; phân cấp và thực hiện nhiệm vụ, quyền hạn được phân cấp.</w:t>
      </w:r>
    </w:p>
    <w:p w14:paraId="50A2665A"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Tại Nghị quyết số 138/NQ-CP ngày 16 tháng 5 năm 2025 của Chính phủ ban hành Kế hoạch hành động thực hiện Nghị quyết số 68-NQ/TW về phát triển kinh tế tư nhân và Nghị quyết số 139/NQ-CP ngày 17 tháng 5 năm 2025 của Chính phủ ban hành Kế hoạch triển khai Nghị quyết số 198/2025/QH15 của Quốc hội về một số cơ chế, chính sách đặc biệt phát triển kinh tế tư nhân, Chính phủ xác định nhiệm vụ hỗ trợ hình thành và phát triển doanh nghiệp vừa và lớn, tập đoàn kinh tế tư nhân tầm cỡ khu vực và toàn cầu; trong đó giao Bộ Tài chính xây dựng, trình Thủ tướng Chính phủ ban hành Chương trình phát triển 1.000 doanh nghiệp tiêu biểu, tiên phong trong khoa học công nghệ, đổi mới sáng tạo, chuyển đổi số và chuyển đổi xanh, công nghiệp công nghệ cao, công nghiệp hỗ trợ.</w:t>
      </w:r>
    </w:p>
    <w:p w14:paraId="013D71BA"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xml:space="preserve">Ngày 06 tháng 4 năm 2026, Thủ tướng Chính phủ đã ban hành Quyết định số 631/QĐ-TTg phê duyệt Chương trình phát triển 1.000 doanh nghiệp tiên phong giai đoạn 2026 - 2030. Quyết định giao Bộ Tài chính chủ trì hướng dẫn, tổ chức triển khai Chương trình; quy định cụ thể các nội dung hỗ trợ, cơ chế lựa chọn, công bố, </w:t>
      </w:r>
      <w:r w:rsidRPr="00A90E93">
        <w:rPr>
          <w:bCs/>
          <w:sz w:val="28"/>
          <w:szCs w:val="28"/>
          <w:lang w:val="nl-NL"/>
        </w:rPr>
        <w:lastRenderedPageBreak/>
        <w:t>quản lý, theo dõi, đánh giá doanh nghiệp tiên phong và trách nhiệm của các bộ, ngành, địa phương trong quá trình thực hiện.</w:t>
      </w:r>
    </w:p>
    <w:p w14:paraId="2D40A511"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Dự thảo Thông tư hướng dẫn thực hiện Chương trình được xây dựng với nhiều nội dung mới, gồm xác định ngành, lĩnh vực hỗ trợ; xác định tiêu chí lựa chọn doanh nghiệp tiên phong; rà soát, xác định, công bố và gỡ bỏ doanh nghiệp tiên phong; quản lý Thẻ hỗ trợ doanh nghiệp tiên phong; hỗ trợ thông qua Thẻ hỗ trợ, cơ quan hỗ trợ tự thực hiện hoặc lựa chọn nhà thầu cung cấp dịch vụ; hỗ trợ thử nghiệm, kiểm định sản phẩm, đăng ký bản quyền, sở hữu trí tuệ, tăng cường năng lực, xúc tiến thương mại, quảng bá thương hiệu, phát triển thị trường; tôn vinh, biểu dương, khen thưởng và xử lý vi phạm trong Chương trình.</w:t>
      </w:r>
    </w:p>
    <w:p w14:paraId="2409555F"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Các nội dung nêu trên có liên quan trực tiếp đến việc xác định đối tượng hỗ trợ, tổ chức thực hiện hoạt động hỗ trợ, quản lý, sử dụng kinh phí ngân sách nhà nước, thanh toán, quyết toán và theo dõi, giám sát kết quả thực hiện. Vì vậy, việc đánh giá thủ tục hành chính trong dự thảo Thông tư là cần thiết nhằm bảo đảm quy định được thiết kế đơn giản, minh bạch, không làm phát sinh thủ tục hành chính mới ngoài phạm vi được giao và không làm tăng chi phí tuân thủ cho doanh nghiệp.</w:t>
      </w:r>
    </w:p>
    <w:p w14:paraId="151CD479"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2. Mục đích, yêu cầu đánh giá</w:t>
      </w:r>
    </w:p>
    <w:p w14:paraId="0E0FF59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Việc đánh giá thủ tục hành chính được thực hiện theo quy định của Luật Ban hành văn bản quy phạm pháp luật năm 2025, Nghị định số 78/2025/NĐ-CP và các quy định về kiểm soát thủ tục hành chính, cụ thể:</w:t>
      </w:r>
    </w:p>
    <w:p w14:paraId="154CA870"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Đánh giá tác động của thủ tục hành chính tập trung vào sự cần thiết, tính hợp lý, tính hợp pháp của thủ tục hành chính, cũng như mức độ số hóa thủ tục hành chính dự kiến ban hành để cân nhắc, lựa chọn phương án, giải pháp tối ưu trong quá trình xây dựng Thông tư.</w:t>
      </w:r>
    </w:p>
    <w:p w14:paraId="38E689F9"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Đánh giá chi phí tuân thủ thủ tục hành chính, trong đó chú trọng lượng hóa, nhận diện các chi phí tuân thủ có thể phát sinh; từ đó đề xuất giải pháp tổ chức thực hiện phù hợp, bảo đảm chi phí đối với doanh nghiệp, tổ chức, cá nhân liên quan ở mức thấp nhất.</w:t>
      </w:r>
    </w:p>
    <w:p w14:paraId="7F47D6E7"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II. KẾT QUẢ ĐÁNH GIÁ</w:t>
      </w:r>
    </w:p>
    <w:p w14:paraId="020C6258"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1. Đánh giá thủ tục hành chính</w:t>
      </w:r>
    </w:p>
    <w:p w14:paraId="3025785A"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Dự thảo Thông tư bao gồm 04 chương, 25 điều và 03 phụ lục như sau:</w:t>
      </w:r>
    </w:p>
    <w:p w14:paraId="2886D8E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Chương I: Quy định chung (bao gồm 11 điều)</w:t>
      </w:r>
    </w:p>
    <w:p w14:paraId="583B2BD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 Phạm vi điều chỉnh và đối tượng áp dụng</w:t>
      </w:r>
    </w:p>
    <w:p w14:paraId="710CE955"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 Giải thích từ ngữ</w:t>
      </w:r>
    </w:p>
    <w:p w14:paraId="17605E1D"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3. Nguyên tắc hỗ trợ doanh nghiệp tiên phong</w:t>
      </w:r>
    </w:p>
    <w:p w14:paraId="6707384E"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lastRenderedPageBreak/>
        <w:t>- Điều 4. Nguồn kinh phí và nguyên tắc quản lý, sử dụng kinh phí thực hiện Chương trình</w:t>
      </w:r>
    </w:p>
    <w:p w14:paraId="1B07E3E7"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5. Xác định ngành, lĩnh vực được hỗ trợ</w:t>
      </w:r>
    </w:p>
    <w:p w14:paraId="18BEC70C"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6. Xác định doanh nghiệp tiên phong</w:t>
      </w:r>
    </w:p>
    <w:p w14:paraId="69E6DEB0"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 Điều 7. Rà soát, xác định, công bố và gỡ bỏ doanh nghiệp tiên phong</w:t>
      </w:r>
    </w:p>
    <w:p w14:paraId="58FA0324"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8. Thẻ hỗ trợ doanh nghiệp tiên phong</w:t>
      </w:r>
    </w:p>
    <w:p w14:paraId="0A5769ED"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9. Hỗ trợ doanh nghiệp tiên phong thông qua Thẻ hỗ trợ</w:t>
      </w:r>
    </w:p>
    <w:p w14:paraId="56876783"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10. Hỗ trợ doanh nghiệp thông qua phương thức cơ quan hỗ trợ tự thực hiện</w:t>
      </w:r>
    </w:p>
    <w:p w14:paraId="239AF23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11. Hỗ trợ doanh nghiệp tiên phong thông qua phương thức lựa chọn nhà thầu cung cấp dịch vụ</w:t>
      </w:r>
    </w:p>
    <w:p w14:paraId="0A4A2755"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Chương II: Nội dung hỗ trợ doanh nghiệp tiên phong (bao gồm 07 điều)</w:t>
      </w:r>
    </w:p>
    <w:p w14:paraId="59D3A013"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12. Hỗ trợ doanh nghiệp tiên phong về thủ tục đầu tư, hải quan, niêm yết trên thị trường chứng khoán</w:t>
      </w:r>
    </w:p>
    <w:p w14:paraId="26B0DB96"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13. Hỗ trợ thử nghiệm, kiểm định sản phẩm</w:t>
      </w:r>
    </w:p>
    <w:p w14:paraId="69E4C56F"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14. Hỗ trợ chi phí đăng ký bản quyền, sở hữu trí tuệ</w:t>
      </w:r>
    </w:p>
    <w:p w14:paraId="08771928"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15. Hỗ trợ tăng cường năng lực cho doanh nghiệp tiên phong</w:t>
      </w:r>
    </w:p>
    <w:p w14:paraId="5C0CC13C"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16. Hỗ trợ xúc tiến thương mại, quảng bá thương hiệu, phát triển thị trường</w:t>
      </w:r>
    </w:p>
    <w:p w14:paraId="705E135B"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17. Tôn vinh, biểu dương, khen thưởng trong Chương trình</w:t>
      </w:r>
    </w:p>
    <w:p w14:paraId="64196DDC"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18. Xử lý vi phạm trong Chương trình</w:t>
      </w:r>
    </w:p>
    <w:p w14:paraId="3E988F07"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Chương III: Quản lý, triển khai thực hiện Chương trình (bao gồm 06 điều)</w:t>
      </w:r>
    </w:p>
    <w:p w14:paraId="7DB3CDEA"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19. Quản lý hoạt động hỗ trợ doanh nghiệp tiên phong</w:t>
      </w:r>
    </w:p>
    <w:p w14:paraId="75EF8A0F"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20. Bố trí kinh phí ngân sách nhà nước thực hiện Chương trình</w:t>
      </w:r>
    </w:p>
    <w:p w14:paraId="01904BA0"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21. Lập, phân bổ, giao dự toán kinh phí thực hiện Chương trình</w:t>
      </w:r>
    </w:p>
    <w:p w14:paraId="17B1FB70"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22. Tổ chức thực hiện nhiệm vụ và dự toán kinh phí thực hiện Chương trình</w:t>
      </w:r>
    </w:p>
    <w:p w14:paraId="2207C804"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23. Thanh toán kinh phí thực hiện Chương trình</w:t>
      </w:r>
    </w:p>
    <w:p w14:paraId="1F90F5A5"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24. Quyết toán và tổng hợp quyết toán kinh phí thực hiện Chương trình</w:t>
      </w:r>
    </w:p>
    <w:p w14:paraId="172C6EE8"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Chương IV: Tổ chức thực hiện (bao gồm 01 điều)</w:t>
      </w:r>
    </w:p>
    <w:p w14:paraId="1EA77FB4"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Điều 25. Hiệu lực thi hành và tổ chức thực hiện</w:t>
      </w:r>
    </w:p>
    <w:p w14:paraId="1ADAEE2D"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03 Phụ lục gồm:</w:t>
      </w:r>
    </w:p>
    <w:p w14:paraId="5BF0050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lastRenderedPageBreak/>
        <w:t>- Phụ lục I. Mẫu kê khai thông tin xác định doanh nghiệp tiên phong</w:t>
      </w:r>
    </w:p>
    <w:p w14:paraId="21FCF8F4"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Phụ lục II. Khung năng lực bên cung cấp dịch vụ hỗ trợ</w:t>
      </w:r>
    </w:p>
    <w:p w14:paraId="00E774EC"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Phụ lục III. Tiêu chí lựa chọn bên cung cấp dịch vụ hỗ trợ theo phương thức Thẻ hỗ trợ</w:t>
      </w:r>
    </w:p>
    <w:p w14:paraId="4A7D31C3"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Qua rà soát, dự thảo Thông tư không quy định thủ tục hành chính mới. Các nội dung có tương tác với doanh nghiệp, bên cung cấp dịch vụ hỗ trợ như kê khai thông tin để rà soát doanh nghiệp tiên phong, cập nhật nhu cầu hỗ trợ, cấp, quản lý và sử dụng Thẻ hỗ trợ, nghiệm thu, thanh toán kinh phí hỗ trợ là các bước nghiệp vụ để tổ chức thực hiện Chương trình theo Quyết định số 631/QĐ-TTg; không phải là thủ tục cấp phép, chấp thuận, xác nhận điều kiện kinh doanh hoặc thủ tục hành chính độc lập; không làm phát sinh khoản phí, lệ phí mới; không yêu cầu doanh nghiệp nộp lại thông tin đã có trong cơ sở dữ liệu nhà nước nếu có thể khai thác, đối chiếu.</w:t>
      </w:r>
    </w:p>
    <w:p w14:paraId="3FEAF03D" w14:textId="77777777" w:rsidR="0079356F" w:rsidRPr="00A90E93" w:rsidRDefault="00A90E93">
      <w:pPr>
        <w:spacing w:before="120" w:after="120" w:line="240" w:lineRule="auto"/>
        <w:ind w:firstLine="567"/>
        <w:jc w:val="both"/>
        <w:rPr>
          <w:bCs/>
          <w:sz w:val="28"/>
          <w:szCs w:val="28"/>
          <w:lang w:val="nl-NL"/>
        </w:rPr>
      </w:pPr>
      <w:r w:rsidRPr="00A90E93">
        <w:rPr>
          <w:sz w:val="28"/>
          <w:lang w:val="nl-NL"/>
        </w:rPr>
        <w:t>Việc công bố bên cung cấp dịch vụ hỗ trợ trên Cổng Thông tin doanh nghiệp chỉ là cơ chế công khai thông tin năng lực phục vụ quản lý chất lượng dịch vụ trong phạm vi Chương trình; không phải là giấy phép, điều kiện kinh doanh hoặc hình thức chấp thuận hoạt động của bên cung cấp dịch vụ.</w:t>
      </w:r>
    </w:p>
    <w:p w14:paraId="330F36C4"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Dự thảo Thông tư thiết kế các bước nghiệp vụ theo hướng đơn giản hóa, ưu tiên thực hiện trên môi trường điện tử thông qua Cổng Thông tin doanh nghiệp, sử dụng hồ sơ điện tử, văn bản điện tử, mã định danh điện tử của Thẻ hỗ trợ và cơ chế công khai thông tin để kiểm soát trùng lặp. Trường hợp Cổng Thông tin doanh nghiệp chưa đáp ứng yêu cầu kỹ thuật, việc thực hiện trực tiếp chỉ là phương án dự phòng nhằm bảo đảm không gián đoạn hỗ trợ doanh nghiệp và phải được cập nhật lên hệ thống khi điều kiện kỹ thuật cho phép.</w:t>
      </w:r>
    </w:p>
    <w:p w14:paraId="69B4D88A"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Đối với thanh toán, quyết toán kinh phí ngân sách nhà nước, dự thảo Thông tư không đặt ra thủ tục thanh toán riêng ngoài quy định của pháp luật về ngân sách nhà nước, kế toán, Kho bạc Nhà nước, đấu thầu và pháp luật có liên quan. Kinh phí hỗ trợ không chi trực tiếp bằng tiền cho doanh nghiệp, trừ trường hợp pháp luật chuyên ngành có quy định khác; cơ quan, tổ chức hỗ trợ thanh toán cho bên cung cấp dịch vụ hoặc đơn vị thực hiện nhiệm vụ sau khi có hợp đồng, biên bản nghiệm thu, hóa đơn, chứng từ hợp pháp và tài liệu chứng minh kết quả thực hiện theo quy định.</w:t>
      </w:r>
    </w:p>
    <w:p w14:paraId="59E41015"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2. Việc phân quyền, phân cấp</w:t>
      </w:r>
    </w:p>
    <w:p w14:paraId="1D49C954"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Dự thảo Thông tư không quy định phân quyền, phân cấp mới. Các nhiệm vụ của Bộ Tài chính, cơ quan đầu mối của các bộ, địa phương, Sở Tài chính địa phương, cơ quan hỗ trợ và các cơ quan, tổ chức có liên quan được quy định trên cơ sở chức năng, nhiệm vụ, quyền hạn hiện hành và nhiệm vụ được giao tại Quyết định số 631/QĐ-TTg.</w:t>
      </w:r>
    </w:p>
    <w:p w14:paraId="32BD4ADF"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 xml:space="preserve">Việc Sở Tài chính địa phương thực hiện rà soát, xác định doanh nghiệp đáp ứng tiêu chí; cơ quan hỗ trợ tổ chức thực hiện hoạt động hỗ trợ; Bộ Tài chính tổng hợp, </w:t>
      </w:r>
      <w:r w:rsidRPr="00A90E93">
        <w:rPr>
          <w:sz w:val="28"/>
          <w:lang w:val="nl-NL"/>
        </w:rPr>
        <w:lastRenderedPageBreak/>
        <w:t>công bố, quản lý, theo dõi chung trên Cổng Thông tin doanh nghiệp là cơ chế tổ chức thực hiện Chương trình, không làm phát sinh cấp trung gian, không tạo thêm tầng nấc hành chính và không chồng chéo thẩm quyền.</w:t>
      </w:r>
    </w:p>
    <w:p w14:paraId="22EE1F0F"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3. Việc ứng dụng, thúc đẩy phát triển khoa học, công nghệ, đổi mới sáng tạo và chuyển đổi số</w:t>
      </w:r>
    </w:p>
    <w:p w14:paraId="242A5852"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Dự thảo Thông tư thực hiện chủ trương về phát triển khoa học, công nghệ, đổi mới sáng tạo và chuyển đổi số. Theo đó, dự thảo Thông tư quy định xây dựng, quản lý, vận hành Cổng Thông tin doanh nghiệp để công bố doanh nghiệp tiên phong, tiếp nhận thông tin, quản lý Thẻ hỗ trợ doanh nghiệp tiên phong, công bố bên cung cấp dịch vụ hỗ trợ, theo dõi, giám sát và đánh giá việc thực hiện Chương trình.</w:t>
      </w:r>
    </w:p>
    <w:p w14:paraId="078AFB6A"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Các quy định về hồ sơ điện tử, văn bản điện tử, mã số, mã định danh điện tử của Thẻ hỗ trợ, công khai thông tin trên Cổng Thông tin doanh nghiệp và đối sánh dữ liệu với Cơ sở dữ liệu quốc gia về đăng ký doanh nghiệp, cơ sở dữ liệu thuế, hải quan, bảo hiểm xã hội và cơ sở dữ liệu chuyên ngành góp phần giảm yêu cầu nộp hồ sơ giấy, rút ngắn thời gian xử lý, hạn chế trùng lặp thông tin và tạo thuận lợi tối đa cho doanh nghiệp, cơ quan hỗ trợ và bên cung cấp dịch vụ hỗ trợ.</w:t>
      </w:r>
    </w:p>
    <w:p w14:paraId="79DBB8C4"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4. Việc bảo đảm bình đẳng giới</w:t>
      </w:r>
    </w:p>
    <w:p w14:paraId="7D4C3E4C"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Dự thảo Thông tư không tạo thủ tục riêng đối với doanh nghiệp do phụ nữ làm chủ, doanh nghiệp sử dụng nhiều lao động nữ hoặc học viên, người lao động nữ. Tuy nhiên, dự thảo Thông tư có quy định nguyên tắc ưu tiên hỗ trợ doanh nghiệp tiên phong do phụ nữ làm chủ, doanh nghiệp sử dụng nhiều lao động nữ trong trường hợp nhiều doanh nghiệp cùng đáp ứng điều kiện hỗ trợ. Đồng thời, dự thảo Thông tư giải thích rõ khái niệm doanh nghiệp do phụ nữ làm chủ và doanh nghiệp sử dụng nhiều lao động nữ để bảo đảm thống nhất trong thực hiện.</w:t>
      </w:r>
    </w:p>
    <w:p w14:paraId="70FED6A1"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Các quy định nêu trên không làm phát sinh gánh nặng hành chính riêng cho doanh nghiệp do phụ nữ làm chủ hoặc doanh nghiệp sử dụng nhiều lao động nữ, mà nhằm tăng khả năng tiếp cận chính sách hỗ trợ của các nhóm doanh nghiệp này, phù hợp với định hướng thúc đẩy bình đẳng giới trong phát triển doanh nghiệp.</w:t>
      </w:r>
    </w:p>
    <w:p w14:paraId="7B7CC36A"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5. Việc thực hiện chính sách dân tộc</w:t>
      </w:r>
    </w:p>
    <w:p w14:paraId="7C61AD1E"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Dự thảo Thông tư không tạo thủ tục riêng về chính sách dân tộc và không quy định tiêu chí phân biệt đối xử về dân tộc trong việc xác định, hỗ trợ doanh nghiệp tiên phong. Các doanh nghiệp thuộc mọi địa bàn, thành phần, nhóm chủ thể nếu đáp ứng tiêu chí, điều kiện theo Quyết định số 631/QĐ-TTg và dự thảo Thông tư đều được tiếp cận chính sách hỗ trợ theo nguyên tắc công khai, minh bạch, bình đẳng và phù hợp với khả năng cân đối nguồn lực.</w:t>
      </w:r>
    </w:p>
    <w:p w14:paraId="4A3B6297"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 xml:space="preserve">Việc không đặt ra thủ tục riêng giúp tránh phát sinh hồ sơ, giấy tờ, chi phí tuân thủ không cần thiết; đồng thời bảo đảm doanh nghiệp ở địa bàn vùng đồng bào dân </w:t>
      </w:r>
      <w:r w:rsidRPr="00A90E93">
        <w:rPr>
          <w:bCs/>
          <w:sz w:val="28"/>
          <w:szCs w:val="28"/>
          <w:lang w:val="nl-NL"/>
        </w:rPr>
        <w:lastRenderedPageBreak/>
        <w:t>tộc thiểu số, miền núi, vùng khó khăn nếu đáp ứng tiêu chí doanh nghiệp tiên phong vẫn được tham gia Chương trình theo cơ chế chung.</w:t>
      </w:r>
    </w:p>
    <w:p w14:paraId="63421D16" w14:textId="77777777" w:rsidR="00443279" w:rsidRPr="00A90E93" w:rsidRDefault="00443279" w:rsidP="00443279">
      <w:pPr>
        <w:spacing w:before="120" w:after="120" w:line="240" w:lineRule="auto"/>
        <w:ind w:firstLine="567"/>
        <w:jc w:val="both"/>
        <w:rPr>
          <w:b/>
          <w:sz w:val="28"/>
          <w:szCs w:val="28"/>
          <w:lang w:val="nl-NL"/>
        </w:rPr>
      </w:pPr>
      <w:r w:rsidRPr="00A90E93">
        <w:rPr>
          <w:b/>
          <w:sz w:val="28"/>
          <w:szCs w:val="28"/>
          <w:lang w:val="nl-NL"/>
        </w:rPr>
        <w:t>6. Kết luận</w:t>
      </w:r>
    </w:p>
    <w:p w14:paraId="7A62B3D9" w14:textId="77777777" w:rsidR="00443279" w:rsidRPr="00A90E93" w:rsidRDefault="00443279" w:rsidP="00443279">
      <w:pPr>
        <w:spacing w:before="120" w:after="120" w:line="240" w:lineRule="auto"/>
        <w:ind w:firstLine="567"/>
        <w:jc w:val="both"/>
        <w:rPr>
          <w:bCs/>
          <w:sz w:val="28"/>
          <w:szCs w:val="28"/>
          <w:lang w:val="nl-NL"/>
        </w:rPr>
      </w:pPr>
      <w:r w:rsidRPr="00A90E93">
        <w:rPr>
          <w:sz w:val="28"/>
          <w:lang w:val="nl-NL"/>
        </w:rPr>
        <w:t>Dự thảo Thông tư không làm phát sinh thủ tục hành chính mới. Các quy trình có tương tác với doanh nghiệp và bên cung cấp dịch vụ hỗ trợ được thiết kế theo hướng đơn giản hóa tối đa, ưu tiên thực hiện trên môi trường điện tử, khai thác dữ liệu sẵn có, không yêu cầu nộp lại thông tin đã có trong cơ sở dữ liệu nhà nước, không phát sinh phí, lệ phí mới và không tạo cơ chế xin - cho trong thực hiện chính sách hỗ trợ.</w:t>
      </w:r>
    </w:p>
    <w:p w14:paraId="379A8A63"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Các quy định liên quan đến lập, phân bổ, giao dự toán, thanh toán, quyết toán kinh phí ngân sách nhà nước được xây dựng trên cơ sở pháp luật về ngân sách nhà nước, đấu thầu, kế toán, kho bạc nhà nước và pháp luật có liên quan; bảo đảm kiểm soát chặt chẽ, công khai, minh bạch và hiệu quả sử dụng ngân sách nhà nước.</w:t>
      </w:r>
    </w:p>
    <w:p w14:paraId="3EBBC9DD"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Do đó, dự thảo Thông tư đáp ứng yêu cầu cải cách thủ tục hành chính, không làm gia tăng gánh nặng hành chính cho doanh nghiệp, tổ chức, cá nhân liên quan, đồng thời bảo đảm yêu cầu quản lý nhà nước, kiểm soát đối tượng thụ hưởng, kiểm soát trùng lặp hỗ trợ và sử dụng ngân sách nhà nước theo quy định.</w:t>
      </w:r>
    </w:p>
    <w:p w14:paraId="453BEB37" w14:textId="77777777" w:rsidR="00443279" w:rsidRPr="00A90E93" w:rsidRDefault="00443279" w:rsidP="00443279">
      <w:pPr>
        <w:spacing w:before="120" w:after="120" w:line="240" w:lineRule="auto"/>
        <w:ind w:firstLine="567"/>
        <w:jc w:val="both"/>
        <w:rPr>
          <w:bCs/>
          <w:sz w:val="28"/>
          <w:szCs w:val="28"/>
          <w:lang w:val="nl-NL"/>
        </w:rPr>
      </w:pPr>
      <w:r w:rsidRPr="00A90E93">
        <w:rPr>
          <w:bCs/>
          <w:sz w:val="28"/>
          <w:szCs w:val="28"/>
          <w:lang w:val="nl-NL"/>
        </w:rPr>
        <w:t>Trên đây là những nội dung đánh giá thủ tục hành chính trong dự thảo Thông tư hướng dẫn thực hiện Quyết định số 631/QĐ-TTg ngày 06 tháng 4 năm 2026 của Thủ tướng Chính phủ phê duyệt Chương trình phát triển 1.000 doanh nghiệp tiên phong giai đoạn 2026 - 2030./.</w:t>
      </w:r>
    </w:p>
    <w:p w14:paraId="26BB8535" w14:textId="77777777" w:rsidR="00443279" w:rsidRPr="00A90E93" w:rsidRDefault="00443279" w:rsidP="00443279">
      <w:pPr>
        <w:spacing w:before="120" w:after="120" w:line="276" w:lineRule="auto"/>
        <w:ind w:firstLine="567"/>
        <w:jc w:val="both"/>
        <w:rPr>
          <w:sz w:val="28"/>
          <w:szCs w:val="28"/>
          <w:lang w:val="nl-NL"/>
        </w:rPr>
      </w:pPr>
    </w:p>
    <w:p w14:paraId="02F20F22" w14:textId="77777777" w:rsidR="00924985" w:rsidRPr="00A90E93" w:rsidRDefault="00924985">
      <w:pPr>
        <w:rPr>
          <w:lang w:val="nl-NL"/>
        </w:rPr>
      </w:pPr>
    </w:p>
    <w:p w14:paraId="1B3B4CC4" w14:textId="77777777" w:rsidR="0079356F" w:rsidRPr="00A90E93" w:rsidRDefault="0079356F">
      <w:pPr>
        <w:rPr>
          <w:lang w:val="nl-NL"/>
        </w:rPr>
      </w:pPr>
    </w:p>
    <w:sectPr w:rsidR="0079356F" w:rsidRPr="00A90E93" w:rsidSect="0003461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428"/>
    <w:rsid w:val="000C07E9"/>
    <w:rsid w:val="00443279"/>
    <w:rsid w:val="0079356F"/>
    <w:rsid w:val="00924985"/>
    <w:rsid w:val="00A90E93"/>
    <w:rsid w:val="00FF4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24DF5"/>
  <w15:chartTrackingRefBased/>
  <w15:docId w15:val="{1D12DBA8-9092-4991-94E4-0684929A5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279"/>
    <w:pPr>
      <w:spacing w:after="60" w:line="252" w:lineRule="auto"/>
    </w:pPr>
    <w:rPr>
      <w:rFonts w:ascii="Times New Roman" w:eastAsia="Times New Roman" w:hAnsi="Times New Roman"/>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443279"/>
    <w:pPr>
      <w:spacing w:before="100" w:beforeAutospacing="1" w:after="100" w:afterAutospacing="1" w:line="240" w:lineRule="auto"/>
    </w:pPr>
    <w:rPr>
      <w:rFonts w:cs="Times New Roman"/>
      <w:sz w:val="24"/>
      <w:szCs w:val="24"/>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rsid w:val="0044327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1957</Words>
  <Characters>11160</Characters>
  <Application>Microsoft Office Word</Application>
  <DocSecurity>4</DocSecurity>
  <Lines>93</Lines>
  <Paragraphs>26</Paragraphs>
  <ScaleCrop>false</ScaleCrop>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Nguyen</dc:creator>
  <cp:keywords/>
  <dc:description/>
  <cp:lastModifiedBy>Bach Nguyen</cp:lastModifiedBy>
  <cp:revision>2</cp:revision>
  <dcterms:created xsi:type="dcterms:W3CDTF">2026-06-05T10:00:00Z</dcterms:created>
  <dcterms:modified xsi:type="dcterms:W3CDTF">2026-06-05T10:00:00Z</dcterms:modified>
</cp:coreProperties>
</file>